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600" w:type="dxa"/>
        <w:gridCol w:w="4400" w:type="dxa"/>
      </w:tblGrid>
      <w:tblPr>
        <w:tblW w:w="5000" w:type="pct"/>
        <w:tblLayout w:type="autofit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/>
        <w:tc>
          <w:tcPr>
            <w:tcW w:w="600" w:type="dxa"/>
          </w:tcPr>
          <w:p>
            <w:pPr>
              <w:jc w:val="left"/>
            </w:pPr>
            <w:r>
              <w:pict>
                <v:shape type="#_x0000_t75" style="width:110pt; height:30pt; margin-left:-1pt; margin-top:-1pt; mso-position-horizontal:left; mso-position-vertical:top; mso-position-horizontal-relative:char;">
                  <w10:wrap type="square"/>
                  <v:imagedata r:id="rId7" o:title=""/>
                </v:shape>
              </w:pict>
            </w:r>
          </w:p>
        </w:tc>
        <w:tc>
          <w:tcPr>
            <w:tcW w:w="4400" w:type="dxa"/>
          </w:tcPr>
          <w:p>
            <w:pPr>
              <w:spacing w:before="0" w:after="0" w:line="288" w:lineRule="auto"/>
            </w:pPr>
            <w:r>
              <w:rPr>
                <w:sz w:val="20"/>
                <w:szCs w:val="20"/>
              </w:rPr>
              <w:t xml:space="preserve">Официальная правовая информация.
</w:t>
            </w:r>
          </w:p>
          <w:p>
            <w:pPr/>
            <w:r>
              <w:rPr>
                <w:sz w:val="20"/>
                <w:szCs w:val="20"/>
              </w:rPr>
              <w:t xml:space="preserve">Информационно-поисковая система ”ЭТАЛОН-ONLINE“, 30.05.2024
 Национальный центр правовой информации Республики Беларусь</w:t>
            </w:r>
          </w:p>
        </w:tc>
      </w:tr>
    </w:tbl>
    <w:p/>
    <w:p>
      <w:pPr>
        <w:jc w:val="center"/>
        <w:ind w:left="0" w:right="0" w:firstLine="0"/>
        <w:spacing w:after="60"/>
      </w:pPr>
      <w:r>
        <w:rPr>
          <w:sz w:val="24"/>
          <w:szCs w:val="24"/>
          <w:caps/>
        </w:rPr>
        <w:t xml:space="preserve">ПОСТАНОВЛЕНИЕ </w:t>
      </w:r>
      <w:r>
        <w:rPr>
          <w:sz w:val="24"/>
          <w:szCs w:val="24"/>
          <w:caps/>
        </w:rPr>
        <w:t xml:space="preserve">МИНИСТЕРСТВА ОБРАЗОВАНИЯ РЕСПУБЛИКИ БЕЛАРУСЬ</w:t>
      </w:r>
    </w:p>
    <w:p>
      <w:pPr>
        <w:jc w:val="center"/>
        <w:ind w:left="0" w:right="0" w:firstLine="0"/>
        <w:spacing w:after="60"/>
      </w:pPr>
      <w:r>
        <w:rPr>
          <w:sz w:val="24"/>
          <w:szCs w:val="24"/>
        </w:rPr>
        <w:t xml:space="preserve">25 июля 2011 г.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№ 146</w:t>
      </w:r>
    </w:p>
    <w:p>
      <w:pPr>
        <w:spacing w:before="240" w:after="240"/>
      </w:pPr>
      <w:r>
        <w:rPr>
          <w:sz w:val="28"/>
          <w:szCs w:val="28"/>
          <w:b/>
          <w:bCs/>
        </w:rPr>
        <w:t xml:space="preserve">Об утверждении Положения о попечительском совете учреждения образования</w:t>
      </w:r>
    </w:p>
    <w:p>
      <w:pPr>
        <w:ind w:left="1021.000005" w:right="0"/>
        <w:spacing w:after="60"/>
      </w:pPr>
      <w:r>
        <w:rPr>
          <w:sz w:val="24"/>
          <w:szCs w:val="24"/>
        </w:rPr>
        <w:t xml:space="preserve">Изменения и дополнения:</w:t>
      </w:r>
    </w:p>
    <w:p>
      <w:pPr>
        <w:jc w:val="both"/>
        <w:ind w:left="1133.8582677165" w:right="0" w:firstLine="566.92913385827"/>
        <w:spacing w:after="60"/>
      </w:pPr>
      <w:r>
        <w:rPr>
          <w:sz w:val="24"/>
          <w:szCs w:val="24"/>
        </w:rPr>
        <w:t xml:space="preserve">Постановление Министерства образования Республики Беларусь от 28 декабря 2016 г. № 127 (зарегистрировано в Национальном реестре - № 8/31680 от 19.01.2017 г.)</w:t>
      </w:r>
      <w:r>
        <w:rPr>
          <w:sz w:val="24"/>
          <w:szCs w:val="24"/>
        </w:rPr>
        <w:t xml:space="preserve">;</w:t>
      </w:r>
    </w:p>
    <w:p>
      <w:pPr>
        <w:jc w:val="both"/>
        <w:ind w:left="1133.8582677165" w:right="0" w:firstLine="566.92913385827"/>
        <w:spacing w:after="60"/>
      </w:pPr>
      <w:r>
        <w:rPr>
          <w:sz w:val="24"/>
          <w:szCs w:val="24"/>
        </w:rPr>
        <w:t xml:space="preserve">Постановление Министерства образования Республики Беларусь от 29 апреля 2020 г. № 60 (зарегистрировано в Национальном реестре - № 8/35362 от 15.05.2020 г.)</w:t>
      </w:r>
      <w:r>
        <w:rPr>
          <w:sz w:val="24"/>
          <w:szCs w:val="24"/>
        </w:rPr>
        <w:t xml:space="preserve">;</w:t>
      </w:r>
    </w:p>
    <w:p>
      <w:pPr>
        <w:jc w:val="both"/>
        <w:ind w:left="1133.8582677165" w:right="0" w:firstLine="566.92913385827"/>
        <w:spacing w:after="60"/>
      </w:pPr>
      <w:r>
        <w:rPr>
          <w:sz w:val="24"/>
          <w:szCs w:val="24"/>
        </w:rPr>
        <w:t xml:space="preserve">Постановление Министерства образования Республики Беларусь от 16 августа 2022 г. № 266 (зарегистрировано в Национальном реестре - № 8/38642 от 30.08.2022 г.)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На основании пункта 6 статьи 24 Кодекса Республики Беларусь об образовании Министерство образования Республики Беларусь ПОСТАНОВЛЯЕТ: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1. Утвердить Положение о попечительском совете учреждения образования (прилагается).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2. Настоящее постановление вступает в силу после его официального опубликования.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tbl>
      <w:tblGrid>
        <w:gridCol w:w="2500" w:type="dxa"/>
        <w:gridCol w:w="2500" w:type="dxa"/>
      </w:tblGrid>
      <w:tblPr>
        <w:tblW w:w="5000" w:type="pct"/>
        <w:tblCellSpacing w:w="0" w:type="dxa"/>
        <w:tblLayout w:type="autofit"/>
      </w:tblPr>
      <w:tr>
        <w:trPr/>
        <w:tc>
          <w:tcPr>
            <w:tcW w:w="2500" w:type="pct"/>
            <w:vAlign w:val="bottom"/>
            <w:vMerge w:val="restart"/>
          </w:tcPr>
          <w:p>
            <w:pPr>
              <w:jc w:val="left"/>
              <w:ind w:left="0" w:right="0" w:firstLine="0"/>
              <w:spacing w:after="60"/>
            </w:pPr>
            <w:r>
              <w:rPr>
                <w:sz w:val="22"/>
                <w:szCs w:val="22"/>
                <w:b/>
                <w:bCs/>
              </w:rPr>
              <w:t xml:space="preserve">Министр</w:t>
            </w:r>
          </w:p>
        </w:tc>
        <w:tc>
          <w:tcPr>
            <w:tcW w:w="2500" w:type="pct"/>
            <w:vAlign w:val="bottom"/>
            <w:vMerge w:val="restart"/>
          </w:tcPr>
          <w:p>
            <w:pPr>
              <w:jc w:val="right"/>
              <w:ind w:left="0" w:right="0" w:firstLine="0"/>
              <w:spacing w:after="60"/>
            </w:pPr>
            <w:r>
              <w:rPr>
                <w:sz w:val="22"/>
                <w:szCs w:val="22"/>
                <w:b/>
                <w:bCs/>
              </w:rPr>
              <w:t xml:space="preserve">С.А.Маскевич</w:t>
            </w:r>
          </w:p>
        </w:tc>
      </w:tr>
    </w:tbl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tbl>
      <w:tblGrid>
        <w:gridCol w:w="2407" w:type="dxa"/>
        <w:gridCol w:w="2593" w:type="dxa"/>
      </w:tblGrid>
      <w:tblPr>
        <w:tblW w:w="3462" w:type="pct"/>
        <w:tblCellSpacing w:w="0" w:type="dxa"/>
        <w:tblLayout w:type="autofit"/>
      </w:tblPr>
      <w:tr>
        <w:trPr/>
        <w:tc>
          <w:tcPr>
            <w:tcW w:w="2407" w:type="pct"/>
            <w:vAlign w:val="top"/>
            <w:vMerge w:val="restart"/>
          </w:tcPr>
          <w:p>
            <w:pPr>
              <w:ind w:left="0" w:right="0"/>
              <w:spacing w:after="28.000005"/>
            </w:pPr>
            <w:r>
              <w:rPr>
                <w:sz w:val="22"/>
                <w:szCs w:val="22"/>
              </w:rPr>
              <w:t xml:space="preserve">СОГЛАСОВАНО</w:t>
            </w:r>
          </w:p>
          <w:p>
            <w:pPr>
              <w:ind w:left="0" w:right="0"/>
              <w:spacing w:after="28.000005"/>
            </w:pPr>
            <w:r>
              <w:rPr>
                <w:sz w:val="22"/>
                <w:szCs w:val="22"/>
              </w:rPr>
              <w:t xml:space="preserve">Министр финансов</w:t>
            </w:r>
            <w:br/>
            <w:r>
              <w:rPr>
                <w:sz w:val="22"/>
                <w:szCs w:val="22"/>
              </w:rPr>
              <w:t xml:space="preserve">Республики Беларусь</w:t>
            </w:r>
          </w:p>
          <w:p>
            <w:pPr>
              <w:jc w:val="both"/>
              <w:ind w:left="0" w:right="0" w:firstLine="1021"/>
              <w:spacing w:after="60"/>
            </w:pPr>
            <w:r>
              <w:rPr>
                <w:sz w:val="22"/>
                <w:szCs w:val="22"/>
              </w:rPr>
              <w:t xml:space="preserve">А.М.Харковец</w:t>
            </w:r>
          </w:p>
          <w:p>
            <w:pPr>
              <w:jc w:val="both"/>
              <w:ind w:left="0" w:right="0" w:firstLine="0"/>
              <w:spacing w:after="60"/>
            </w:pPr>
            <w:r>
              <w:rPr>
                <w:sz w:val="22"/>
                <w:szCs w:val="22"/>
              </w:rPr>
              <w:t xml:space="preserve">22.07.2011</w:t>
            </w:r>
          </w:p>
        </w:tc>
        <w:tc>
          <w:tcPr>
            <w:tcW w:w="2593" w:type="pct"/>
            <w:vAlign w:val="top"/>
            <w:vMerge w:val="restart"/>
          </w:tcPr>
          <w:p>
            <w:pPr>
              <w:ind w:left="0" w:right="0"/>
              <w:spacing w:after="28.000005"/>
            </w:pPr>
            <w:r>
              <w:rPr>
                <w:sz w:val="22"/>
                <w:szCs w:val="22"/>
              </w:rPr>
              <w:t xml:space="preserve">СОГЛАСОВАНО</w:t>
            </w:r>
          </w:p>
          <w:p>
            <w:pPr>
              <w:ind w:left="0" w:right="0"/>
              <w:spacing w:after="28.000005"/>
            </w:pPr>
            <w:r>
              <w:rPr>
                <w:sz w:val="22"/>
                <w:szCs w:val="22"/>
              </w:rPr>
              <w:t xml:space="preserve">Председатель</w:t>
            </w:r>
            <w:br/>
            <w:r>
              <w:rPr>
                <w:sz w:val="22"/>
                <w:szCs w:val="22"/>
              </w:rPr>
              <w:t xml:space="preserve">Брестского областного</w:t>
            </w:r>
            <w:br/>
            <w:r>
              <w:rPr>
                <w:sz w:val="22"/>
                <w:szCs w:val="22"/>
              </w:rPr>
              <w:t xml:space="preserve">исполнительного комитета</w:t>
            </w:r>
          </w:p>
          <w:p>
            <w:pPr>
              <w:jc w:val="both"/>
              <w:ind w:left="0" w:right="0" w:firstLine="1021"/>
              <w:spacing w:after="60"/>
            </w:pPr>
            <w:r>
              <w:rPr>
                <w:sz w:val="22"/>
                <w:szCs w:val="22"/>
              </w:rPr>
              <w:t xml:space="preserve">К.А.Сумар</w:t>
            </w:r>
          </w:p>
          <w:p>
            <w:pPr>
              <w:jc w:val="both"/>
              <w:ind w:left="0" w:right="0" w:firstLine="0"/>
              <w:spacing w:after="60"/>
            </w:pPr>
            <w:r>
              <w:rPr>
                <w:sz w:val="22"/>
                <w:szCs w:val="22"/>
              </w:rPr>
              <w:t xml:space="preserve">19.07.2011</w:t>
            </w:r>
          </w:p>
        </w:tc>
      </w:tr>
      <w:tr>
        <w:trPr/>
        <w:tc>
          <w:tcPr>
            <w:tcW w:w="2407" w:type="pct"/>
            <w:vAlign w:val="top"/>
            <w:vMerge w:val="restart"/>
          </w:tcPr>
          <w:p>
            <w:pPr>
              <w:ind w:left="0" w:right="0"/>
              <w:spacing w:after="28.000005"/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2593" w:type="pct"/>
            <w:vAlign w:val="top"/>
            <w:vMerge w:val="restart"/>
          </w:tcPr>
          <w:p>
            <w:pPr>
              <w:ind w:left="0" w:right="0"/>
              <w:spacing w:after="28.000005"/>
            </w:pPr>
            <w:r>
              <w:rPr>
                <w:sz w:val="22"/>
                <w:szCs w:val="22"/>
              </w:rPr>
              <w:t xml:space="preserve"> </w:t>
            </w:r>
          </w:p>
        </w:tc>
      </w:tr>
      <w:tr>
        <w:trPr/>
        <w:tc>
          <w:tcPr>
            <w:tcW w:w="2407" w:type="pct"/>
            <w:vAlign w:val="top"/>
            <w:vMerge w:val="restart"/>
          </w:tcPr>
          <w:p>
            <w:pPr>
              <w:ind w:left="0" w:right="0"/>
              <w:spacing w:after="28.000005"/>
            </w:pPr>
            <w:r>
              <w:rPr>
                <w:sz w:val="22"/>
                <w:szCs w:val="22"/>
              </w:rPr>
              <w:t xml:space="preserve">СОГЛАСОВАНО</w:t>
            </w:r>
          </w:p>
          <w:p>
            <w:pPr>
              <w:ind w:left="0" w:right="0"/>
              <w:spacing w:after="28.000005"/>
            </w:pPr>
            <w:r>
              <w:rPr>
                <w:sz w:val="22"/>
                <w:szCs w:val="22"/>
              </w:rPr>
              <w:t xml:space="preserve">Председатель</w:t>
            </w:r>
            <w:br/>
            <w:r>
              <w:rPr>
                <w:sz w:val="22"/>
                <w:szCs w:val="22"/>
              </w:rPr>
              <w:t xml:space="preserve">Витебского областного</w:t>
            </w:r>
            <w:br/>
            <w:r>
              <w:rPr>
                <w:sz w:val="22"/>
                <w:szCs w:val="22"/>
              </w:rPr>
              <w:t xml:space="preserve">исполнительного комитета</w:t>
            </w:r>
          </w:p>
          <w:p>
            <w:pPr>
              <w:jc w:val="both"/>
              <w:ind w:left="0" w:right="0" w:firstLine="1021"/>
              <w:spacing w:after="60"/>
            </w:pPr>
            <w:r>
              <w:rPr>
                <w:sz w:val="22"/>
                <w:szCs w:val="22"/>
              </w:rPr>
              <w:t xml:space="preserve">А.Н.Косинец</w:t>
            </w:r>
          </w:p>
          <w:p>
            <w:pPr>
              <w:jc w:val="both"/>
              <w:ind w:left="0" w:right="0" w:firstLine="0"/>
              <w:spacing w:after="60"/>
            </w:pPr>
            <w:r>
              <w:rPr>
                <w:sz w:val="22"/>
                <w:szCs w:val="22"/>
              </w:rPr>
              <w:t xml:space="preserve">18.07.2011</w:t>
            </w:r>
          </w:p>
        </w:tc>
        <w:tc>
          <w:tcPr>
            <w:tcW w:w="2593" w:type="pct"/>
            <w:vAlign w:val="top"/>
            <w:vMerge w:val="restart"/>
          </w:tcPr>
          <w:p>
            <w:pPr>
              <w:ind w:left="0" w:right="0"/>
              <w:spacing w:after="28.000005"/>
            </w:pPr>
            <w:r>
              <w:rPr>
                <w:sz w:val="22"/>
                <w:szCs w:val="22"/>
              </w:rPr>
              <w:t xml:space="preserve">СОГЛАСОВАНО</w:t>
            </w:r>
          </w:p>
          <w:p>
            <w:pPr>
              <w:ind w:left="0" w:right="0"/>
              <w:spacing w:after="28.000005"/>
            </w:pPr>
            <w:r>
              <w:rPr>
                <w:sz w:val="22"/>
                <w:szCs w:val="22"/>
              </w:rPr>
              <w:t xml:space="preserve">Исполняющий</w:t>
            </w:r>
            <w:br/>
            <w:r>
              <w:rPr>
                <w:sz w:val="22"/>
                <w:szCs w:val="22"/>
              </w:rPr>
              <w:t xml:space="preserve">обязанности председателя</w:t>
            </w:r>
            <w:br/>
            <w:r>
              <w:rPr>
                <w:sz w:val="22"/>
                <w:szCs w:val="22"/>
              </w:rPr>
              <w:t xml:space="preserve">Гомельского областного</w:t>
            </w:r>
            <w:br/>
            <w:r>
              <w:rPr>
                <w:sz w:val="22"/>
                <w:szCs w:val="22"/>
              </w:rPr>
              <w:t xml:space="preserve">исполнительного комитета</w:t>
            </w:r>
          </w:p>
          <w:p>
            <w:pPr>
              <w:jc w:val="both"/>
              <w:ind w:left="0" w:right="0" w:firstLine="1021"/>
              <w:spacing w:after="60"/>
            </w:pPr>
            <w:r>
              <w:rPr>
                <w:sz w:val="22"/>
                <w:szCs w:val="22"/>
              </w:rPr>
              <w:t xml:space="preserve">А.В.Баранов</w:t>
            </w:r>
          </w:p>
          <w:p>
            <w:pPr>
              <w:jc w:val="both"/>
              <w:ind w:left="0" w:right="0" w:firstLine="0"/>
              <w:spacing w:after="60"/>
            </w:pPr>
            <w:r>
              <w:rPr>
                <w:sz w:val="22"/>
                <w:szCs w:val="22"/>
              </w:rPr>
              <w:t xml:space="preserve">19.07.2011</w:t>
            </w:r>
          </w:p>
        </w:tc>
      </w:tr>
      <w:tr>
        <w:trPr/>
        <w:tc>
          <w:tcPr>
            <w:tcW w:w="2407" w:type="pct"/>
            <w:vAlign w:val="top"/>
            <w:vMerge w:val="restart"/>
          </w:tcPr>
          <w:p>
            <w:pPr>
              <w:ind w:left="0" w:right="0"/>
              <w:spacing w:after="28.000005"/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2593" w:type="pct"/>
            <w:vAlign w:val="top"/>
            <w:vMerge w:val="restart"/>
          </w:tcPr>
          <w:p>
            <w:pPr>
              <w:ind w:left="0" w:right="0"/>
              <w:spacing w:after="28.000005"/>
            </w:pPr>
            <w:r>
              <w:rPr>
                <w:sz w:val="22"/>
                <w:szCs w:val="22"/>
              </w:rPr>
              <w:t xml:space="preserve"> </w:t>
            </w:r>
          </w:p>
        </w:tc>
      </w:tr>
      <w:tr>
        <w:trPr/>
        <w:tc>
          <w:tcPr>
            <w:tcW w:w="2407" w:type="pct"/>
            <w:vAlign w:val="top"/>
            <w:vMerge w:val="restart"/>
          </w:tcPr>
          <w:p>
            <w:pPr>
              <w:ind w:left="0" w:right="0"/>
              <w:spacing w:after="28.000005"/>
            </w:pPr>
            <w:r>
              <w:rPr>
                <w:sz w:val="22"/>
                <w:szCs w:val="22"/>
              </w:rPr>
              <w:t xml:space="preserve">СОГЛАСОВАНО</w:t>
            </w:r>
          </w:p>
          <w:p>
            <w:pPr>
              <w:ind w:left="0" w:right="0"/>
              <w:spacing w:after="28.000005"/>
            </w:pPr>
            <w:r>
              <w:rPr>
                <w:sz w:val="22"/>
                <w:szCs w:val="22"/>
              </w:rPr>
              <w:t xml:space="preserve">Председатель</w:t>
            </w:r>
            <w:br/>
            <w:r>
              <w:rPr>
                <w:sz w:val="22"/>
                <w:szCs w:val="22"/>
              </w:rPr>
              <w:t xml:space="preserve">Гродненского областного</w:t>
            </w:r>
            <w:br/>
            <w:r>
              <w:rPr>
                <w:sz w:val="22"/>
                <w:szCs w:val="22"/>
              </w:rPr>
              <w:t xml:space="preserve">исполнительного комитета</w:t>
            </w:r>
          </w:p>
          <w:p>
            <w:pPr>
              <w:jc w:val="both"/>
              <w:ind w:left="0" w:right="0" w:firstLine="1021"/>
              <w:spacing w:after="60"/>
            </w:pPr>
            <w:r>
              <w:rPr>
                <w:sz w:val="22"/>
                <w:szCs w:val="22"/>
              </w:rPr>
              <w:t xml:space="preserve">С.Б.Шапиро</w:t>
            </w:r>
          </w:p>
          <w:p>
            <w:pPr>
              <w:jc w:val="both"/>
              <w:ind w:left="0" w:right="0" w:firstLine="0"/>
              <w:spacing w:after="60"/>
            </w:pPr>
            <w:r>
              <w:rPr>
                <w:sz w:val="22"/>
                <w:szCs w:val="22"/>
              </w:rPr>
              <w:t xml:space="preserve">19.07.2011</w:t>
            </w:r>
          </w:p>
        </w:tc>
        <w:tc>
          <w:tcPr>
            <w:tcW w:w="2593" w:type="pct"/>
            <w:vAlign w:val="top"/>
            <w:vMerge w:val="restart"/>
          </w:tcPr>
          <w:p>
            <w:pPr>
              <w:ind w:left="0" w:right="0"/>
              <w:spacing w:after="28.000005"/>
            </w:pPr>
            <w:r>
              <w:rPr>
                <w:sz w:val="22"/>
                <w:szCs w:val="22"/>
              </w:rPr>
              <w:t xml:space="preserve">СОГЛАСОВАНО</w:t>
            </w:r>
          </w:p>
          <w:p>
            <w:pPr>
              <w:ind w:left="0" w:right="0"/>
              <w:spacing w:after="28.000005"/>
            </w:pPr>
            <w:r>
              <w:rPr>
                <w:sz w:val="22"/>
                <w:szCs w:val="22"/>
              </w:rPr>
              <w:t xml:space="preserve">Председатель</w:t>
            </w:r>
            <w:br/>
            <w:r>
              <w:rPr>
                <w:sz w:val="22"/>
                <w:szCs w:val="22"/>
              </w:rPr>
              <w:t xml:space="preserve">Минского областного</w:t>
            </w:r>
            <w:br/>
            <w:r>
              <w:rPr>
                <w:sz w:val="22"/>
                <w:szCs w:val="22"/>
              </w:rPr>
              <w:t xml:space="preserve">исполнительного комитета</w:t>
            </w:r>
          </w:p>
          <w:p>
            <w:pPr>
              <w:jc w:val="both"/>
              <w:ind w:left="0" w:right="0" w:firstLine="1021"/>
              <w:spacing w:after="60"/>
            </w:pPr>
            <w:r>
              <w:rPr>
                <w:sz w:val="22"/>
                <w:szCs w:val="22"/>
              </w:rPr>
              <w:t xml:space="preserve">Б.В.Батура</w:t>
            </w:r>
          </w:p>
          <w:p>
            <w:pPr>
              <w:jc w:val="both"/>
              <w:ind w:left="0" w:right="0" w:firstLine="0"/>
              <w:spacing w:after="60"/>
            </w:pPr>
            <w:r>
              <w:rPr>
                <w:sz w:val="22"/>
                <w:szCs w:val="22"/>
              </w:rPr>
              <w:t xml:space="preserve">19.07.2011</w:t>
            </w:r>
          </w:p>
        </w:tc>
      </w:tr>
      <w:tr>
        <w:trPr/>
        <w:tc>
          <w:tcPr>
            <w:tcW w:w="2407" w:type="pct"/>
            <w:vAlign w:val="top"/>
            <w:vMerge w:val="restart"/>
          </w:tcPr>
          <w:p>
            <w:pPr>
              <w:ind w:left="0" w:right="0"/>
              <w:spacing w:after="28.000005"/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2593" w:type="pct"/>
            <w:vAlign w:val="top"/>
            <w:vMerge w:val="restart"/>
          </w:tcPr>
          <w:p>
            <w:pPr>
              <w:ind w:left="0" w:right="0"/>
              <w:spacing w:after="28.000005"/>
            </w:pPr>
            <w:r>
              <w:rPr>
                <w:sz w:val="22"/>
                <w:szCs w:val="22"/>
              </w:rPr>
              <w:t xml:space="preserve"> </w:t>
            </w:r>
          </w:p>
        </w:tc>
      </w:tr>
      <w:tr>
        <w:trPr/>
        <w:tc>
          <w:tcPr>
            <w:tcW w:w="2407" w:type="pct"/>
            <w:vAlign w:val="top"/>
            <w:vMerge w:val="restart"/>
          </w:tcPr>
          <w:p>
            <w:pPr>
              <w:ind w:left="0" w:right="0"/>
              <w:spacing w:after="28.000005"/>
            </w:pPr>
            <w:r>
              <w:rPr>
                <w:sz w:val="22"/>
                <w:szCs w:val="22"/>
              </w:rPr>
              <w:t xml:space="preserve">СОГЛАСОВАНО</w:t>
            </w:r>
          </w:p>
          <w:p>
            <w:pPr>
              <w:ind w:left="0" w:right="0"/>
              <w:spacing w:after="28.000005"/>
            </w:pPr>
            <w:r>
              <w:rPr>
                <w:sz w:val="22"/>
                <w:szCs w:val="22"/>
              </w:rPr>
              <w:t xml:space="preserve">Заместитель председателя</w:t>
            </w:r>
            <w:br/>
            <w:r>
              <w:rPr>
                <w:sz w:val="22"/>
                <w:szCs w:val="22"/>
              </w:rPr>
              <w:t xml:space="preserve">Могилевского областного</w:t>
            </w:r>
            <w:br/>
            <w:r>
              <w:rPr>
                <w:sz w:val="22"/>
                <w:szCs w:val="22"/>
              </w:rPr>
              <w:t xml:space="preserve">исполнительного комитета</w:t>
            </w:r>
          </w:p>
          <w:p>
            <w:pPr>
              <w:jc w:val="both"/>
              <w:ind w:left="0" w:right="0" w:firstLine="1021"/>
              <w:spacing w:after="60"/>
            </w:pPr>
            <w:r>
              <w:rPr>
                <w:sz w:val="22"/>
                <w:szCs w:val="22"/>
              </w:rPr>
              <w:t xml:space="preserve">А.М.Исаченко</w:t>
            </w:r>
          </w:p>
          <w:p>
            <w:pPr>
              <w:jc w:val="both"/>
              <w:ind w:left="0" w:right="0" w:firstLine="0"/>
              <w:spacing w:after="60"/>
            </w:pPr>
            <w:r>
              <w:rPr>
                <w:sz w:val="22"/>
                <w:szCs w:val="22"/>
              </w:rPr>
              <w:t xml:space="preserve">19.07.2011</w:t>
            </w:r>
          </w:p>
        </w:tc>
        <w:tc>
          <w:tcPr>
            <w:tcW w:w="2593" w:type="pct"/>
            <w:vAlign w:val="top"/>
            <w:vMerge w:val="restart"/>
          </w:tcPr>
          <w:p>
            <w:pPr>
              <w:ind w:left="0" w:right="0"/>
              <w:spacing w:after="28.000005"/>
            </w:pPr>
            <w:r>
              <w:rPr>
                <w:sz w:val="22"/>
                <w:szCs w:val="22"/>
              </w:rPr>
              <w:t xml:space="preserve">СОГЛАСОВАНО</w:t>
            </w:r>
          </w:p>
          <w:p>
            <w:pPr>
              <w:ind w:left="0" w:right="0"/>
              <w:spacing w:after="28.000005"/>
            </w:pPr>
            <w:r>
              <w:rPr>
                <w:sz w:val="22"/>
                <w:szCs w:val="22"/>
              </w:rPr>
              <w:t xml:space="preserve">Председатель</w:t>
            </w:r>
            <w:br/>
            <w:r>
              <w:rPr>
                <w:sz w:val="22"/>
                <w:szCs w:val="22"/>
              </w:rPr>
              <w:t xml:space="preserve">Минского городского</w:t>
            </w:r>
            <w:br/>
            <w:r>
              <w:rPr>
                <w:sz w:val="22"/>
                <w:szCs w:val="22"/>
              </w:rPr>
              <w:t xml:space="preserve">исполнительного комитета</w:t>
            </w:r>
          </w:p>
          <w:p>
            <w:pPr>
              <w:jc w:val="both"/>
              <w:ind w:left="0" w:right="0" w:firstLine="1021"/>
              <w:spacing w:after="60"/>
            </w:pPr>
            <w:r>
              <w:rPr>
                <w:sz w:val="22"/>
                <w:szCs w:val="22"/>
              </w:rPr>
              <w:t xml:space="preserve">Н.А.Ладутько</w:t>
            </w:r>
          </w:p>
          <w:p>
            <w:pPr>
              <w:jc w:val="both"/>
              <w:ind w:left="0" w:right="0" w:firstLine="0"/>
              <w:spacing w:after="60"/>
            </w:pPr>
            <w:r>
              <w:rPr>
                <w:sz w:val="22"/>
                <w:szCs w:val="22"/>
              </w:rPr>
              <w:t xml:space="preserve">18.07.2011</w:t>
            </w:r>
          </w:p>
        </w:tc>
      </w:tr>
    </w:tbl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tbl>
      <w:tblGrid>
        <w:gridCol w:w="3528" w:type="dxa"/>
        <w:gridCol w:w="1472" w:type="dxa"/>
      </w:tblGrid>
      <w:tblPr>
        <w:tblW w:w="5000" w:type="pct"/>
        <w:tblCellSpacing w:w="0" w:type="dxa"/>
        <w:tblLayout w:type="autofit"/>
      </w:tblPr>
      <w:tr>
        <w:trPr/>
        <w:tc>
          <w:tcPr>
            <w:tcW w:w="3528" w:type="pct"/>
            <w:vAlign w:val="top"/>
            <w:vMerge w:val="restart"/>
          </w:tcPr>
          <w:p>
            <w:pPr>
              <w:jc w:val="both"/>
              <w:ind w:left="0" w:right="0" w:firstLine="566.92913385827"/>
              <w:spacing w:after="60"/>
            </w:pPr>
            <w:r>
              <w:rPr>
                <w:sz w:val="24"/>
                <w:szCs w:val="24"/>
              </w:rPr>
              <w:t xml:space="preserve"> </w:t>
            </w:r>
          </w:p>
        </w:tc>
        <w:tc>
          <w:tcPr>
            <w:tcW w:w="1472" w:type="pct"/>
            <w:vAlign w:val="top"/>
            <w:vMerge w:val="restart"/>
          </w:tcPr>
          <w:p>
            <w:pPr>
              <w:ind w:left="0" w:right="0"/>
              <w:spacing w:after="120"/>
            </w:pPr>
            <w:r>
              <w:rPr>
                <w:sz w:val="22"/>
                <w:szCs w:val="22"/>
              </w:rPr>
              <w:t xml:space="preserve">УТВЕРЖДЕНО</w:t>
            </w:r>
          </w:p>
          <w:p>
            <w:pPr>
              <w:ind w:left="0" w:right="0"/>
              <w:spacing w:after="60"/>
            </w:pPr>
            <w:r>
              <w:rPr>
                <w:sz w:val="22"/>
                <w:szCs w:val="22"/>
              </w:rPr>
              <w:t xml:space="preserve">Постановление</w:t>
            </w:r>
            <w:br/>
            <w:r>
              <w:rPr>
                <w:sz w:val="22"/>
                <w:szCs w:val="22"/>
              </w:rPr>
              <w:t xml:space="preserve">Министерства образования</w:t>
            </w:r>
            <w:br/>
            <w:r>
              <w:rPr>
                <w:sz w:val="22"/>
                <w:szCs w:val="22"/>
              </w:rPr>
              <w:t xml:space="preserve">Республики Беларусь</w:t>
            </w:r>
          </w:p>
          <w:p>
            <w:pPr>
              <w:ind w:left="0" w:right="0"/>
              <w:spacing w:after="60"/>
            </w:pPr>
            <w:r>
              <w:rPr>
                <w:sz w:val="22"/>
                <w:szCs w:val="22"/>
              </w:rPr>
              <w:t xml:space="preserve">25.07.2011 № 146</w:t>
            </w:r>
          </w:p>
        </w:tc>
      </w:tr>
    </w:tbl>
    <w:p>
      <w:pPr>
        <w:spacing w:before="240" w:after="240"/>
      </w:pPr>
      <w:r>
        <w:rPr>
          <w:sz w:val="24"/>
          <w:szCs w:val="24"/>
          <w:b/>
          <w:bCs/>
        </w:rPr>
        <w:t xml:space="preserve">ПОЛОЖЕНИЕ</w:t>
      </w:r>
      <w:br/>
      <w:r>
        <w:rPr>
          <w:sz w:val="24"/>
          <w:szCs w:val="24"/>
          <w:b/>
          <w:bCs/>
        </w:rPr>
        <w:t xml:space="preserve">о попечительском совете учреждения образования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1. Настоящее Положение определяет порядок деятельности попечительского совета учреждения образования (далее – попечительский совет).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2. Попечительский совет является органом самоуправления учреждения образования и создается с целью оказания содействия в обеспечении его деятельности и развития.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3. Решение о создании попечительского совета принимается инициативной группой, в состав которой могут входить законные представители несовершеннолетних обучающихся, педагогические работники, представители общественных объединений и других организаций, иные лица. Решение инициативной группы согласовывается с руководителем учреждения образования.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4. Попечительский совет организует свою работу в соответствии с Кодексом Республики Беларусь об образовании, настоящим Положением, иными актами законодательства, уставом учреждения образования.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5. Попечительский совет разрабатывает, принимает и организует реализацию планов своей деятельности в интересах учреждения образования.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6. Попечительский совет взаимодействует с руководителем учреждения образования и другими органами самоуправления учреждения образования по вопросам функционирования и развития учреждения образования. Представитель попечительского совета может участвовать в работе других органов самоуправления.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7. Решения попечительского совета носят консультативный и рекомендательный характер.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8. Выполнение членами попечительского совета своих функций осуществляется исключительно на безвозмездной основе.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9. Деятельность попечительского совета может быть прекращена по инициативе и (или) решению общего собрания попечительского совета (далее – общее собрание).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10. Задачами деятельности попечительского совета являются: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10.1. содействие учреждению образования в развитии материально-технической базы, обеспечении качества образования, привлечении денежных средств в виде добровольных перечислений (взносов) физических лиц (далее – денежные средства) для обеспечения деятельности учреждения образования;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10.2. разработка и реализация планов своей деятельности в интересах учреждения образования;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10.3. содействие в улучшении условий труда педагогических и иных работников учреждения образования;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10.4. определение направлений, размеров и порядка использования привлеченных денежных средств по согласованию с руководителем учреждения образования и родительским комитетом учреждения образования (при его наличии) на следующие цели: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10.4.1. укрепление материально-технической базы (мебель, инвентарь, приборы, оборудование, инструменты, учебно-наглядные пособия, компьютеры, компьютерные сети, аудиовизуальные средства и иные материальные объекты, необходимые для реализации образовательных программ);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10.4.2. совершенствование организации питания обучающихся (посуда, кухонный и столовый инвентарь и принадлежности);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10.4.3. проведение спортивных, спортивно-массовых, физкультурно-оздоровительных, социально-культурных, образовательных мероприятий;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10.4.4. иные цели, не запрещенные законодательством, в том числе текущий ремонт, организация питьевого режима, приобретение постельных принадлежностей, предметов личной гигиены (салфетки, туалетная бумага, иные предметы первой необходимости), уборочного инвентаря, моющих средств, средств дезинфекции;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10.5. содействие в установлении и развитии международного сотрудничества в сфере образования;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10.6. целевое использование денежных средств.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11. Попечительский совет действует на основе принципов: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11.1. добровольности членства;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11.2. равноправия членов попечительского совета;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11.3. коллегиальности руководства;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11.4. гласности принимаемых решений.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12. В состав попечительского совета могут входить законные представители несовершеннолетних обучающихся, в том числе члены родительского комитета учреждения образования, педагогические работники, представители общественных объединений и других организаций, иные лица.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13. Решение о включении в состав принимается общим собранием.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14. Член попечительского совета имеет право: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14.1. вносить предложения по всем направлениям деятельности попечительского совета на собраниях попечительского совета;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14.2. получать информацию, имеющуюся в распоряжении попечительского совета;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14.3. участвовать во всех мероприятиях, проводимых попечительским советом.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15. Член попечительского совета обязан: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15.1. выполнять требования настоящего Положения;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15.2. соблюдать положения устава учреждения образования;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15.3. принимать активное участие в деятельности попечительского совета, предусмотренной настоящим Положением;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15.4. исполнять решения попечительского совета.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16. Членство в попечительском совете прекращается: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16.1. по заявлению члена попечительского совета, которое он представляет общему собранию;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16.2. по решению общего собрания в связи с исключением из попечительского совета;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16.3. в случае прекращения деятельности попечительского совета.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17. При выходе или исключении из членов попечительского совета, прекращении деятельности попечительского совета денежные средства не возвращаются.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18. Высшим органом управления попечительским советом является общее собрание. Возглавляет общее собрание председатель попечительского совета, избираемый на 3 года.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Общие собрания проводятся по мере необходимости, но не реже одного раза в полугодие.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По инициативе одной трети членов попечительского совета может быть созвано внеочередное общее собрание.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Для координации деятельности попечительского совета в заседании общего собрания может участвовать руководитель учреждения образования.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Учреждение образования обеспечивает условия для деятельности попечительского совета, в том числе путем предоставления места для хранения документации попечительского совета.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19. Общее собрание правомочно принимать решения, если в нем участвуют более половины членов попечительского совета.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Решения принимаются открытым голосованием простым большинством голосов присутствующих членов попечительского совета.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Решения по вопросам, относящимся к исключительной компетенции общего собрания, принимаются открытым голосованием квалифицированным большинством (не менее двух третей) голосов присутствующих членов попечительского совета.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Решения общего собрания доводятся до сведения всех заинтересованных лиц.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20. Председатель попечительского совета в соответствии со своей компетенцией: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20.1. руководит деятельностью попечительского совета;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20.2. председательствует на общих собраниях;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20.3. обеспечивает выполнение решений общего собрания;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20.4. представляет попечительский совет во всех взаимоотношениях с государственными, общественными и другими организациями и физическими лицами по всем вопросам, относящимся к компетенции попечительского совета;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20.5. решает иные вопросы, не относящиеся к компетенции общего собрания.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21. К компетенции общего собрания относятся: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21.1. принятие решения о членстве в попечительском совете;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21.2. избрание председателя попечительского совета и принятие решения о досрочном прекращении его полномочий;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21.3. определение приоритетов деятельности попечительского совета и принятие решения о совершенствовании ее, изменении структуры и упразднении попечительского совета;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21.4. разработка, принятие и организация реализации перспективных и текущих планов деятельности попечительского совета в соответствии с настоящим Положением;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21.5. определение направлений, размеров и порядка использования денежных средств по согласованию с руководителем учреждения образования и родительским комитетом учреждения образования (при его наличии);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21.6. ведение учета поступления и расходования денежных средств и подготовка отчетов об их использовании в соответствии с решением общего собрания;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21.7. рассмотрение и утверждение ежегодного отчета попечительского совета о деятельности и использовании имущества, в том числе и денежных средств.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21</w:t>
      </w:r>
      <w:r>
        <w:rPr>
          <w:sz w:val="24"/>
          <w:szCs w:val="24"/>
          <w:vertAlign w:val="superscript"/>
        </w:rPr>
        <w:t xml:space="preserve">1</w:t>
      </w:r>
      <w:r>
        <w:rPr>
          <w:sz w:val="24"/>
          <w:szCs w:val="24"/>
        </w:rPr>
        <w:t xml:space="preserve">. К исключительной компетенции общего собрания относятся: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принятие решения о прекращении деятельности попечительского совета;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принятие решения об исключении из состава попечительского совета.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22. К компетенции членов попечительского совета относятся: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22.1. подготовка предложений по совершенствованию деятельности учреждения образования;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22.2. выполнение принятых решений с учетом предложений и замечаний членов попечительского совета;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22.3. формирование повестки дня и подготовка необходимых материалов для рассмотрения и принятия по ним решений на очередном общем собрании, ежегодного отчета о результатах деятельности попечительского совета;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22.4. взаимодействие с заинтересованными по достижению целей, предусмотренных уставом учреждения образования;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22.5. рассмотрение иных вопросов, вынесенных на обсуждение общего собрания.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23. Секретарь попечительского совета: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23.1. осуществляет организационную работу по подготовке общих собраний;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23.2. организует ведение и хранение протоколов общих собраний.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24. Денежные средства зачисляются на текущий (расчетный) банковский счет по учету прочих государственных средств, открытый учреждению образования. Денежные средства используются по целевому назначению в соответствии с подпунктом 10.4 пункта 10 настоящего Положения и решением попечительского совета, согласованным с руководителем учреждения образования и родительским комитетом учреждения образования (при его наличии).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Использование денежных средств</w:t>
      </w:r>
      <w:r>
        <w:rPr>
          <w:sz w:val="24"/>
          <w:szCs w:val="24"/>
          <w:vertAlign w:val="superscript"/>
        </w:rPr>
        <w:t xml:space="preserve">1</w:t>
      </w:r>
      <w:r>
        <w:rPr>
          <w:sz w:val="24"/>
          <w:szCs w:val="24"/>
        </w:rPr>
        <w:t xml:space="preserve"> может осуществляться государственным учреждением, созданным в соответствии с Указом Президента Республики Беларусь от 23 декабря 2019 г. № 475 «Об обеспечении деятельности бюджетных организаций» (далее – Центр), на основании договора об оказании услуг для обеспечения деятельности бюджетной организации, заключенного между учреждением образования и Центром.</w:t>
      </w:r>
    </w:p>
    <w:p>
      <w:pPr>
        <w:jc w:val="both"/>
        <w:ind w:left="0" w:right="0" w:firstLine="0"/>
        <w:spacing w:after="60"/>
      </w:pPr>
      <w:r>
        <w:rPr>
          <w:sz w:val="20"/>
          <w:szCs w:val="20"/>
        </w:rPr>
        <w:t xml:space="preserve">______________________________</w:t>
      </w:r>
    </w:p>
    <w:p>
      <w:pPr>
        <w:jc w:val="both"/>
        <w:ind w:left="0" w:right="0" w:firstLine="566.92913385827"/>
        <w:spacing w:after="240"/>
      </w:pPr>
      <w:r>
        <w:rPr>
          <w:sz w:val="20"/>
          <w:szCs w:val="20"/>
          <w:vertAlign w:val="superscript"/>
        </w:rPr>
        <w:t xml:space="preserve">1 </w:t>
      </w:r>
      <w:r>
        <w:rPr>
          <w:sz w:val="20"/>
          <w:szCs w:val="20"/>
        </w:rPr>
        <w:t xml:space="preserve">Для целей настоящего Положения под использованием денежных средств следует понимать ведение Центром бухгалтерского учета и составление бухгалтерской и (или) финансовой отчетности, проведение процедуры государственных закупок товаров (работ, услуг), заключение договоров государственных закупок таких товаров (работ, услуг) и обеспечение их исполнения, в том числе приемка поставленных товаров (выполненных работ, оказанных услуг) и их оплата.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sectPr>
      <w:pgSz w:orient="portrait" w:w="11905.511811024" w:h="16837.795275591"/>
      <w:pgMar w:top="1440" w:right="566.92913385827" w:bottom="1440" w:left="1700.7874015748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2024-05-30T13:46:21+03:00</dcterms:created>
  <dcterms:modified xsi:type="dcterms:W3CDTF">2024-05-30T13:46:21+03:00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